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A2AE16" w14:textId="40D05138" w:rsidR="008E1999" w:rsidRPr="001114C0" w:rsidRDefault="00811941" w:rsidP="001114C0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письму</w:t>
      </w:r>
      <w:r w:rsidR="00481C92">
        <w:rPr>
          <w:rFonts w:ascii="Times New Roman" w:hAnsi="Times New Roman" w:cs="Times New Roman"/>
          <w:sz w:val="24"/>
          <w:szCs w:val="24"/>
        </w:rPr>
        <w:t xml:space="preserve"> ТОО от 02.06.23г. № ПС -41-02-    1783 </w:t>
      </w:r>
      <w:r w:rsidR="00414C2A">
        <w:rPr>
          <w:rFonts w:ascii="Times New Roman" w:hAnsi="Times New Roman" w:cs="Times New Roman"/>
          <w:sz w:val="24"/>
          <w:szCs w:val="24"/>
        </w:rPr>
        <w:t>(с  поправк</w:t>
      </w:r>
      <w:r w:rsidR="00481C92">
        <w:rPr>
          <w:rFonts w:ascii="Times New Roman" w:hAnsi="Times New Roman" w:cs="Times New Roman"/>
          <w:sz w:val="24"/>
          <w:szCs w:val="24"/>
        </w:rPr>
        <w:t>ами</w:t>
      </w:r>
      <w:r w:rsidR="00414C2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C89CA6" w14:textId="77777777" w:rsidR="001114C0" w:rsidRPr="001114C0" w:rsidRDefault="001114C0" w:rsidP="001114C0">
      <w:pPr>
        <w:spacing w:after="0" w:line="240" w:lineRule="auto"/>
        <w:ind w:left="4320"/>
        <w:jc w:val="both"/>
        <w:rPr>
          <w:rFonts w:ascii="Times New Roman" w:hAnsi="Times New Roman" w:cs="Times New Roman"/>
          <w:sz w:val="24"/>
          <w:szCs w:val="24"/>
        </w:rPr>
      </w:pPr>
    </w:p>
    <w:p w14:paraId="49693CFA" w14:textId="77777777" w:rsidR="008E1999" w:rsidRPr="008E1999" w:rsidRDefault="008E1999" w:rsidP="008E1999">
      <w:pPr>
        <w:ind w:firstLine="170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999">
        <w:rPr>
          <w:rFonts w:ascii="Times New Roman" w:hAnsi="Times New Roman" w:cs="Times New Roman"/>
          <w:b/>
          <w:bCs/>
          <w:sz w:val="24"/>
          <w:szCs w:val="24"/>
        </w:rPr>
        <w:t>ХАБАРЛАНДЫРУ</w:t>
      </w:r>
    </w:p>
    <w:p w14:paraId="0EF3FD27" w14:textId="77777777" w:rsidR="008E1999" w:rsidRPr="008E1999" w:rsidRDefault="008E1999" w:rsidP="008E1999">
      <w:pPr>
        <w:ind w:right="28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>«АРЭК-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Энергосбыт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» ЖШС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тұтынушылардың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назарына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«ҚР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Ұлттық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экономика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министрлігі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Табиғи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монополияларды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реттеу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комитетінің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Ақмола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облысы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департаменті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» РММ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мекенжайына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01.07.2023 ж.</w:t>
      </w:r>
      <w:r w:rsidRPr="008E199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жабдықтауға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бағаның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тұтынушылар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топтары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бағалардың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тиісті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өзгерістерімен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сондай-ақ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жеке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тұлғалардың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оны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тұтыну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көлеміне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байланысты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сараланған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тарифтердің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алдағы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уақытта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көтерілуі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туралы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ақпаратты</w:t>
      </w:r>
      <w:proofErr w:type="spellEnd"/>
      <w:r w:rsidRPr="008E1999">
        <w:rPr>
          <w:rFonts w:ascii="Times New Roman" w:hAnsi="Times New Roman" w:cs="Times New Roman"/>
          <w:sz w:val="24"/>
          <w:szCs w:val="24"/>
          <w:lang w:val="kk-KZ"/>
        </w:rPr>
        <w:t>ң қарастыруға және келісуге жіберілгенін хабарлайды</w:t>
      </w:r>
      <w:r w:rsidRPr="008E1999">
        <w:rPr>
          <w:rFonts w:ascii="Times New Roman" w:hAnsi="Times New Roman" w:cs="Times New Roman"/>
          <w:sz w:val="24"/>
          <w:szCs w:val="24"/>
        </w:rPr>
        <w:t>.</w:t>
      </w:r>
    </w:p>
    <w:p w14:paraId="414385BA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 xml:space="preserve">Электр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электрмен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жабдықтауға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бағаны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көтерудің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негізгі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факторлары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>:</w:t>
      </w:r>
    </w:p>
    <w:p w14:paraId="566E1220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 xml:space="preserve">- 2023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қаңтардан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жаңартылатын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көздерін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r w:rsidRPr="008E1999">
        <w:rPr>
          <w:rFonts w:ascii="Times New Roman" w:hAnsi="Times New Roman" w:cs="Times New Roman"/>
          <w:sz w:val="24"/>
          <w:szCs w:val="24"/>
          <w:lang w:val="kk-KZ"/>
        </w:rPr>
        <w:t>пайдалануды қолдауға</w:t>
      </w:r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үстемеақы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мөлшерін</w:t>
      </w:r>
      <w:proofErr w:type="spellEnd"/>
      <w:r w:rsidRPr="008E1999">
        <w:rPr>
          <w:rFonts w:ascii="Times New Roman" w:hAnsi="Times New Roman" w:cs="Times New Roman"/>
          <w:sz w:val="24"/>
          <w:szCs w:val="24"/>
          <w:lang w:val="kk-KZ"/>
        </w:rPr>
        <w:t>ің ұлғаюы</w:t>
      </w:r>
      <w:r w:rsidRPr="008E1999">
        <w:rPr>
          <w:rFonts w:ascii="Times New Roman" w:hAnsi="Times New Roman" w:cs="Times New Roman"/>
          <w:sz w:val="24"/>
          <w:szCs w:val="24"/>
        </w:rPr>
        <w:t>;</w:t>
      </w:r>
    </w:p>
    <w:p w14:paraId="57BA427F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 xml:space="preserve">- 2023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қаңтардан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өңірлік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желілік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компаниялардың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басқа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да энергия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ұйымдардың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желілері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r w:rsidRPr="008E1999">
        <w:rPr>
          <w:rFonts w:ascii="Times New Roman" w:hAnsi="Times New Roman" w:cs="Times New Roman"/>
          <w:sz w:val="24"/>
          <w:szCs w:val="24"/>
          <w:lang w:val="kk-KZ"/>
        </w:rPr>
        <w:t>беруге</w:t>
      </w:r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тарифтердің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өсуі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>;</w:t>
      </w:r>
    </w:p>
    <w:p w14:paraId="1F95D90E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Қазақстан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Республикасы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Энергетика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министрлігінің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26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мамырдағы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№ 192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бұйрығына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жылғы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маусымнан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бастап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көздері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бағалардың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өсуі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>;</w:t>
      </w:r>
    </w:p>
    <w:p w14:paraId="52B4BC89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8E1999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жабдықтау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үстемесі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бойынша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шығындардың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өсуі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B1B46C" w14:textId="77777777" w:rsidR="008E1999" w:rsidRPr="008E1999" w:rsidRDefault="008E1999" w:rsidP="008E1999">
      <w:pPr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Жоғарыда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аталған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факторларды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өндіруші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және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энергия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беруші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ұйымдармен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қол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қойылған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шарттарға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сәйкес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жылға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арналған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сатып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алу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көлемін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ескере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отырып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электр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энергиясына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шекті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баға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құрылымының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жобасы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r w:rsidRPr="008E1999">
        <w:rPr>
          <w:rFonts w:ascii="Times New Roman" w:hAnsi="Times New Roman" w:cs="Times New Roman"/>
          <w:sz w:val="24"/>
          <w:szCs w:val="24"/>
          <w:lang w:val="kk-KZ"/>
        </w:rPr>
        <w:t>түрде</w:t>
      </w:r>
      <w:r w:rsidRPr="008E19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1999">
        <w:rPr>
          <w:rFonts w:ascii="Times New Roman" w:hAnsi="Times New Roman" w:cs="Times New Roman"/>
          <w:sz w:val="24"/>
          <w:szCs w:val="24"/>
        </w:rPr>
        <w:t>қалыптасты</w:t>
      </w:r>
      <w:proofErr w:type="spellEnd"/>
      <w:r w:rsidRPr="008E199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00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0"/>
        <w:gridCol w:w="1669"/>
        <w:gridCol w:w="1521"/>
        <w:gridCol w:w="921"/>
        <w:gridCol w:w="745"/>
      </w:tblGrid>
      <w:tr w:rsidR="008E1999" w:rsidRPr="008E1999" w14:paraId="4D48E1E7" w14:textId="77777777" w:rsidTr="001114C0">
        <w:trPr>
          <w:trHeight w:val="1214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DAC7C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8E199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Атауы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E1F9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E19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01.09.22 ж. бастап қолданыстағы шекті баға.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C787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sz w:val="24"/>
                <w:szCs w:val="24"/>
              </w:rPr>
              <w:t xml:space="preserve">01.07.23 ж. </w:t>
            </w:r>
            <w:proofErr w:type="spellStart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>бастап</w:t>
            </w:r>
            <w:proofErr w:type="spellEnd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>шекті</w:t>
            </w:r>
            <w:proofErr w:type="spellEnd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>баға</w:t>
            </w:r>
            <w:proofErr w:type="spellEnd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>жобасы</w:t>
            </w:r>
            <w:proofErr w:type="spellEnd"/>
            <w:r w:rsidRPr="008E19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571D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Ауытқу</w:t>
            </w:r>
            <w:proofErr w:type="spellEnd"/>
          </w:p>
        </w:tc>
      </w:tr>
      <w:tr w:rsidR="008E1999" w:rsidRPr="008E1999" w14:paraId="33F2090B" w14:textId="77777777" w:rsidTr="001114C0">
        <w:trPr>
          <w:trHeight w:val="553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F4A1E" w14:textId="77777777" w:rsidR="008E1999" w:rsidRPr="008E1999" w:rsidRDefault="008E1999" w:rsidP="00D55EB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B034A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кВтсағ</w:t>
            </w:r>
            <w:proofErr w:type="spellEnd"/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A160A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кВтсағ</w:t>
            </w:r>
            <w:proofErr w:type="spellEnd"/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2AD0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кВтсағ</w:t>
            </w:r>
            <w:proofErr w:type="spellEnd"/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35BB5" w14:textId="77777777" w:rsidR="008E1999" w:rsidRPr="008E1999" w:rsidRDefault="008E1999" w:rsidP="00D55EB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414C2A" w:rsidRPr="008E1999" w14:paraId="4787CECE" w14:textId="77777777" w:rsidTr="001114C0">
        <w:trPr>
          <w:trHeight w:val="591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C01D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Энергия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өндіруші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ұйымдардан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энергиясын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сатып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алу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3FF90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</w:p>
          <w:p w14:paraId="39B007C9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10,314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31B29" w14:textId="557417CC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13,172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5E004" w14:textId="6114344B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2,858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FD76A" w14:textId="78D3E61F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27,7</w:t>
            </w:r>
          </w:p>
        </w:tc>
      </w:tr>
      <w:tr w:rsidR="00414C2A" w:rsidRPr="008E1999" w14:paraId="050ABF5E" w14:textId="77777777" w:rsidTr="001114C0">
        <w:trPr>
          <w:trHeight w:val="1130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591BF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энергиясын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«КЕGOC» АҚ,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өңірлік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желілік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компаниялар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және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басқа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 энергия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беруші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ұйымдардың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желілері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арқылы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беру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0054B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</w:p>
          <w:p w14:paraId="1237E311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10,758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44EF" w14:textId="7810AF87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15,015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76A4" w14:textId="091DBC55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4,258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A480C" w14:textId="19116CC3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39,6</w:t>
            </w:r>
          </w:p>
        </w:tc>
      </w:tr>
      <w:tr w:rsidR="00414C2A" w:rsidRPr="008E1999" w14:paraId="03DCFCA6" w14:textId="77777777" w:rsidTr="001114C0">
        <w:trPr>
          <w:trHeight w:val="31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C25CF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Теңгерімдеуші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нарық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бойынша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шығындар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3391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E1273" w14:textId="51A5DE85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1,395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69847" w14:textId="06C6DAF5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-0,012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C8EBF" w14:textId="15CA8EC5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-0,9</w:t>
            </w:r>
          </w:p>
        </w:tc>
      </w:tr>
      <w:tr w:rsidR="00414C2A" w:rsidRPr="008E1999" w14:paraId="0DD07E9C" w14:textId="77777777" w:rsidTr="001114C0">
        <w:trPr>
          <w:trHeight w:val="704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15D0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энергиясы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нарығының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қызметтері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жүктемені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қамтамасыз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ету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энергиясын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теңгер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у</w:t>
            </w: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2BE87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1,407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42573" w14:textId="59DF8675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6F8A" w14:textId="07999798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0,502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CD4E7" w14:textId="3FD1E3FE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</w:tr>
      <w:tr w:rsidR="00414C2A" w:rsidRPr="008E1999" w14:paraId="129B4410" w14:textId="77777777" w:rsidTr="001114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E3D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Жабдықтау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үстемесі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A0B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0,889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91E19" w14:textId="77D9B0C6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1,525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45E1A" w14:textId="6F999A3C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AEE0D" w14:textId="1FCB1B9D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71,5</w:t>
            </w:r>
          </w:p>
        </w:tc>
      </w:tr>
      <w:tr w:rsidR="00414C2A" w:rsidRPr="008E1999" w14:paraId="15808B66" w14:textId="77777777" w:rsidTr="001114C0">
        <w:trPr>
          <w:trHeight w:val="315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DD65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Алынба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й қалған</w:t>
            </w: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табыс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065C0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0,366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C77" w14:textId="6A128CCE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0,538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E69A3" w14:textId="6A690749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78E73" w14:textId="4EE5C7D8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46,8</w:t>
            </w:r>
          </w:p>
        </w:tc>
      </w:tr>
      <w:tr w:rsidR="00414C2A" w:rsidRPr="008E1999" w14:paraId="285BB877" w14:textId="77777777" w:rsidTr="001114C0">
        <w:trPr>
          <w:trHeight w:val="342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095AD" w14:textId="77777777" w:rsidR="00414C2A" w:rsidRPr="008E1999" w:rsidRDefault="00414C2A" w:rsidP="00D55EB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Электр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энергиясын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өткізу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көлемі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</w:t>
            </w:r>
            <w:proofErr w:type="gramStart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ң.</w:t>
            </w:r>
            <w:proofErr w:type="gram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кВтсағ</w:t>
            </w:r>
            <w:proofErr w:type="spellEnd"/>
            <w:r w:rsidRPr="008E19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B14F2" w14:textId="77777777" w:rsidR="00414C2A" w:rsidRPr="00414C2A" w:rsidRDefault="00414C2A" w:rsidP="008E1999">
            <w:pPr>
              <w:jc w:val="center"/>
              <w:rPr>
                <w:color w:val="000000"/>
              </w:rPr>
            </w:pPr>
            <w:r w:rsidRPr="00414C2A">
              <w:rPr>
                <w:color w:val="000000"/>
              </w:rPr>
              <w:t>836 030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4E93" w14:textId="438E5851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820 714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1BE4" w14:textId="6FD92160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-15 316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E666" w14:textId="420876F6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-1,8</w:t>
            </w:r>
          </w:p>
        </w:tc>
      </w:tr>
      <w:tr w:rsidR="00414C2A" w:rsidRPr="008E1999" w14:paraId="0439F188" w14:textId="77777777" w:rsidTr="001114C0">
        <w:trPr>
          <w:trHeight w:val="687"/>
        </w:trPr>
        <w:tc>
          <w:tcPr>
            <w:tcW w:w="5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65CD" w14:textId="77777777" w:rsidR="00414C2A" w:rsidRPr="008E1999" w:rsidRDefault="00414C2A" w:rsidP="00D55EB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ҚҚС-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сыз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1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квтсағ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энергиясының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шекті</w:t>
            </w:r>
            <w:proofErr w:type="spellEnd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8E19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бағасы</w:t>
            </w:r>
            <w:proofErr w:type="spellEnd"/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53C8E" w14:textId="77777777" w:rsidR="00414C2A" w:rsidRPr="00414C2A" w:rsidRDefault="00414C2A" w:rsidP="008E1999">
            <w:pPr>
              <w:jc w:val="center"/>
              <w:rPr>
                <w:b/>
                <w:color w:val="000000"/>
              </w:rPr>
            </w:pPr>
            <w:r w:rsidRPr="00414C2A">
              <w:rPr>
                <w:b/>
                <w:color w:val="000000"/>
              </w:rPr>
              <w:t>23,735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54A90" w14:textId="7FB79C6C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32,148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A2E36" w14:textId="01A2B97A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8,413</w:t>
            </w:r>
          </w:p>
        </w:tc>
        <w:tc>
          <w:tcPr>
            <w:tcW w:w="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B946D" w14:textId="7E189588" w:rsidR="00414C2A" w:rsidRPr="008E1999" w:rsidRDefault="00414C2A" w:rsidP="008E199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FF"/>
              </w:rPr>
              <w:t>35,4</w:t>
            </w:r>
          </w:p>
        </w:tc>
      </w:tr>
    </w:tbl>
    <w:p w14:paraId="3DF394A8" w14:textId="282A5A16" w:rsidR="008E1999" w:rsidRPr="008E1999" w:rsidRDefault="008E1999" w:rsidP="008E1999">
      <w:pPr>
        <w:ind w:left="360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9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</w:p>
    <w:p w14:paraId="3AD99D03" w14:textId="77777777" w:rsidR="008E1999" w:rsidRPr="008E1999" w:rsidRDefault="008E1999" w:rsidP="00804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E1999" w:rsidRPr="008E1999" w:rsidSect="0048584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131EB"/>
    <w:multiLevelType w:val="hybridMultilevel"/>
    <w:tmpl w:val="A850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A782A"/>
    <w:multiLevelType w:val="hybridMultilevel"/>
    <w:tmpl w:val="82683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3A0"/>
    <w:rsid w:val="00014D4F"/>
    <w:rsid w:val="00042FC3"/>
    <w:rsid w:val="000D4CCD"/>
    <w:rsid w:val="000E40CE"/>
    <w:rsid w:val="001114C0"/>
    <w:rsid w:val="00152AB3"/>
    <w:rsid w:val="002216D1"/>
    <w:rsid w:val="00222542"/>
    <w:rsid w:val="00274BB0"/>
    <w:rsid w:val="002C13DA"/>
    <w:rsid w:val="003044EA"/>
    <w:rsid w:val="00394BE4"/>
    <w:rsid w:val="00414C2A"/>
    <w:rsid w:val="00476206"/>
    <w:rsid w:val="00481C92"/>
    <w:rsid w:val="0048584D"/>
    <w:rsid w:val="004A298D"/>
    <w:rsid w:val="00517F12"/>
    <w:rsid w:val="00562CD5"/>
    <w:rsid w:val="005D5BD5"/>
    <w:rsid w:val="00610377"/>
    <w:rsid w:val="006939AC"/>
    <w:rsid w:val="006B5A3D"/>
    <w:rsid w:val="006C597B"/>
    <w:rsid w:val="007049C7"/>
    <w:rsid w:val="007343AF"/>
    <w:rsid w:val="007551FE"/>
    <w:rsid w:val="008044D0"/>
    <w:rsid w:val="00811941"/>
    <w:rsid w:val="00830577"/>
    <w:rsid w:val="00866C09"/>
    <w:rsid w:val="00882931"/>
    <w:rsid w:val="008E1999"/>
    <w:rsid w:val="008E3DC1"/>
    <w:rsid w:val="009B0166"/>
    <w:rsid w:val="00A42AB4"/>
    <w:rsid w:val="00A606B9"/>
    <w:rsid w:val="00AB38D3"/>
    <w:rsid w:val="00AE13BD"/>
    <w:rsid w:val="00AE503A"/>
    <w:rsid w:val="00B077C4"/>
    <w:rsid w:val="00B64FBC"/>
    <w:rsid w:val="00BF2B0E"/>
    <w:rsid w:val="00C04D38"/>
    <w:rsid w:val="00C543A0"/>
    <w:rsid w:val="00D05A31"/>
    <w:rsid w:val="00D243C4"/>
    <w:rsid w:val="00D325E6"/>
    <w:rsid w:val="00DA2789"/>
    <w:rsid w:val="00DC7F09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DF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543A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543A0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543A0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543A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543A0"/>
    <w:rPr>
      <w:b/>
      <w:bCs/>
      <w:sz w:val="20"/>
      <w:szCs w:val="20"/>
    </w:rPr>
  </w:style>
  <w:style w:type="paragraph" w:styleId="a8">
    <w:name w:val="Body Text Indent"/>
    <w:basedOn w:val="a"/>
    <w:link w:val="a9"/>
    <w:unhideWhenUsed/>
    <w:rsid w:val="00C543A0"/>
    <w:pPr>
      <w:widowControl w:val="0"/>
      <w:suppressAutoHyphens/>
      <w:spacing w:after="120" w:line="240" w:lineRule="auto"/>
      <w:ind w:left="283"/>
    </w:pPr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C543A0"/>
    <w:rPr>
      <w:rFonts w:ascii="Arial" w:eastAsia="Lucida Sans Unicode" w:hAnsi="Arial" w:cs="Times New Roman"/>
      <w:kern w:val="1"/>
      <w:sz w:val="20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882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8293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E5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Александровна</dc:creator>
  <cp:lastModifiedBy>Елибай Азамат</cp:lastModifiedBy>
  <cp:revision>3</cp:revision>
  <cp:lastPrinted>2023-01-06T05:08:00Z</cp:lastPrinted>
  <dcterms:created xsi:type="dcterms:W3CDTF">2023-06-02T11:45:00Z</dcterms:created>
  <dcterms:modified xsi:type="dcterms:W3CDTF">2023-07-05T20:18:00Z</dcterms:modified>
</cp:coreProperties>
</file>